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19B587" w14:textId="77777777" w:rsidR="002B30E7" w:rsidRDefault="002B30E7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226A735B" w14:textId="5C750DC8" w:rsidR="006867D5" w:rsidRPr="00177168" w:rsidRDefault="002B30E7" w:rsidP="00177168">
      <w:pPr>
        <w:spacing w:after="0" w:line="276" w:lineRule="auto"/>
        <w:ind w:left="285"/>
        <w:jc w:val="right"/>
        <w:rPr>
          <w:rFonts w:ascii="Roboto" w:hAnsi="Roboto"/>
          <w:i/>
          <w:sz w:val="24"/>
          <w:szCs w:val="24"/>
        </w:rPr>
      </w:pPr>
      <w:r w:rsidRPr="00177168">
        <w:rPr>
          <w:rFonts w:ascii="Roboto" w:eastAsia="Roboto" w:hAnsi="Roboto" w:cs="Roboto"/>
          <w:i/>
          <w:sz w:val="24"/>
          <w:szCs w:val="24"/>
          <w:highlight w:val="white"/>
        </w:rPr>
        <w:t>Załącznik 4 do zapytania ofertowego nr</w:t>
      </w:r>
      <w:r w:rsidR="00177168" w:rsidRPr="00177168">
        <w:rPr>
          <w:rFonts w:ascii="Roboto" w:eastAsia="Roboto" w:hAnsi="Roboto" w:cs="Roboto"/>
          <w:i/>
          <w:sz w:val="24"/>
          <w:szCs w:val="24"/>
          <w:highlight w:val="white"/>
        </w:rPr>
        <w:t xml:space="preserve"> </w:t>
      </w:r>
      <w:r w:rsidR="002343D6">
        <w:rPr>
          <w:rFonts w:ascii="Roboto" w:hAnsi="Roboto"/>
          <w:i/>
          <w:sz w:val="24"/>
          <w:szCs w:val="24"/>
        </w:rPr>
        <w:t>5</w:t>
      </w:r>
      <w:r w:rsidR="00177168" w:rsidRPr="00177168">
        <w:rPr>
          <w:rFonts w:ascii="Roboto" w:hAnsi="Roboto"/>
          <w:i/>
          <w:sz w:val="24"/>
          <w:szCs w:val="24"/>
        </w:rPr>
        <w:t>/7.12.REA-SPP/2025</w:t>
      </w:r>
    </w:p>
    <w:p w14:paraId="7FB1AF6F" w14:textId="77777777" w:rsidR="00177168" w:rsidRDefault="00177168" w:rsidP="00177168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226A735C" w14:textId="77777777" w:rsidR="006867D5" w:rsidRDefault="002B30E7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>
        <w:rPr>
          <w:rFonts w:ascii="Roboto" w:eastAsia="Roboto" w:hAnsi="Roboto" w:cs="Roboto"/>
          <w:b/>
          <w:sz w:val="32"/>
          <w:szCs w:val="32"/>
        </w:rPr>
        <w:t xml:space="preserve">OŚWIADCZENIE WYKONAWCY </w:t>
      </w:r>
    </w:p>
    <w:p w14:paraId="226A735D" w14:textId="77777777" w:rsidR="006867D5" w:rsidRDefault="002B30E7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>
        <w:rPr>
          <w:rFonts w:ascii="Roboto" w:eastAsia="Roboto" w:hAnsi="Roboto" w:cs="Roboto"/>
          <w:b/>
          <w:sz w:val="32"/>
          <w:szCs w:val="32"/>
        </w:rPr>
        <w:t>O NIEPODLEGANIU WYKLUCZENIU</w:t>
      </w:r>
    </w:p>
    <w:p w14:paraId="226A735E" w14:textId="77777777" w:rsidR="006867D5" w:rsidRDefault="006867D5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226A735F" w14:textId="77777777" w:rsidR="006867D5" w:rsidRDefault="006867D5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226A7360" w14:textId="0FD77B16" w:rsidR="006867D5" w:rsidRDefault="002B30E7" w:rsidP="00177168">
      <w:pPr>
        <w:spacing w:line="276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Świadomy/a odpowiedzialności karnej za składanie fałszywych zeznań wynikającej z art. 233 § 6 ustawy z dnia 6 czerwca 1997 r. Kodeks karny (Dz. U. z 2022 r. poz. 1138,</w:t>
      </w:r>
      <w:r w:rsidR="00142C50"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 xml:space="preserve">z </w:t>
      </w:r>
      <w:proofErr w:type="spellStart"/>
      <w:r>
        <w:rPr>
          <w:rFonts w:ascii="Roboto" w:eastAsia="Roboto" w:hAnsi="Roboto" w:cs="Roboto"/>
          <w:sz w:val="24"/>
          <w:szCs w:val="24"/>
        </w:rPr>
        <w:t>późn</w:t>
      </w:r>
      <w:proofErr w:type="spellEnd"/>
      <w:r>
        <w:rPr>
          <w:rFonts w:ascii="Roboto" w:eastAsia="Roboto" w:hAnsi="Roboto" w:cs="Roboto"/>
          <w:sz w:val="24"/>
          <w:szCs w:val="24"/>
        </w:rPr>
        <w:t>. zm.)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oświadczam, że jako Wykonawca:</w:t>
      </w:r>
    </w:p>
    <w:p w14:paraId="226A7361" w14:textId="77777777" w:rsidR="006867D5" w:rsidRDefault="006867D5">
      <w:pPr>
        <w:widowControl w:val="0"/>
        <w:spacing w:after="0" w:line="276" w:lineRule="auto"/>
        <w:ind w:left="502" w:hanging="360"/>
        <w:rPr>
          <w:rFonts w:ascii="Roboto" w:eastAsia="Roboto" w:hAnsi="Roboto" w:cs="Roboto"/>
          <w:b/>
          <w:color w:val="000000"/>
          <w:sz w:val="24"/>
          <w:szCs w:val="24"/>
        </w:rPr>
      </w:pPr>
    </w:p>
    <w:p w14:paraId="226A7362" w14:textId="77777777" w:rsidR="006867D5" w:rsidRDefault="002B30E7">
      <w:pPr>
        <w:widowControl w:val="0"/>
        <w:numPr>
          <w:ilvl w:val="0"/>
          <w:numId w:val="2"/>
        </w:numP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korzystam z pełni praw publicznych;</w:t>
      </w:r>
    </w:p>
    <w:p w14:paraId="226A7363" w14:textId="77777777" w:rsidR="006867D5" w:rsidRDefault="002B30E7">
      <w:pPr>
        <w:widowControl w:val="0"/>
        <w:numPr>
          <w:ilvl w:val="0"/>
          <w:numId w:val="2"/>
        </w:numP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posiadam pełną zdolność do czynności prawnych;</w:t>
      </w:r>
    </w:p>
    <w:p w14:paraId="226A7364" w14:textId="77777777" w:rsidR="006867D5" w:rsidRDefault="002B30E7">
      <w:pPr>
        <w:widowControl w:val="0"/>
        <w:numPr>
          <w:ilvl w:val="0"/>
          <w:numId w:val="2"/>
        </w:numP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zostałem/</w:t>
      </w:r>
      <w:proofErr w:type="spellStart"/>
      <w:r>
        <w:rPr>
          <w:rFonts w:ascii="Roboto" w:eastAsia="Roboto" w:hAnsi="Roboto" w:cs="Roboto"/>
          <w:color w:val="000000"/>
          <w:sz w:val="24"/>
          <w:szCs w:val="24"/>
        </w:rPr>
        <w:t>am</w:t>
      </w:r>
      <w:proofErr w:type="spellEnd"/>
      <w:r>
        <w:rPr>
          <w:rFonts w:ascii="Roboto" w:eastAsia="Roboto" w:hAnsi="Roboto" w:cs="Roboto"/>
          <w:color w:val="000000"/>
          <w:sz w:val="24"/>
          <w:szCs w:val="24"/>
        </w:rPr>
        <w:t xml:space="preserve"> skazany/a prawomocnym wyrokiem za umyślne przestępstwo lub za umyślne przestępstwo skarbowe </w:t>
      </w:r>
      <w:r>
        <w:rPr>
          <w:rFonts w:ascii="Roboto" w:eastAsia="Roboto" w:hAnsi="Roboto" w:cs="Roboto"/>
          <w:sz w:val="24"/>
          <w:szCs w:val="24"/>
        </w:rPr>
        <w:t>o których mowa w art. 108 ust. 1  pkt. 1), 2) i 3) USTAWY z dnia 11 września 2019 r. Prawo zamówień publicznych;</w:t>
      </w:r>
    </w:p>
    <w:p w14:paraId="226A7365" w14:textId="77777777" w:rsidR="006867D5" w:rsidRDefault="002B30E7" w:rsidP="00177168">
      <w:pPr>
        <w:widowControl w:val="0"/>
        <w:numPr>
          <w:ilvl w:val="0"/>
          <w:numId w:val="2"/>
        </w:numPr>
        <w:spacing w:after="0" w:line="276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nie znajduje się w trakcie postępowania upadłościowego ani nie ogłoszono mojej upadłości;</w:t>
      </w:r>
    </w:p>
    <w:p w14:paraId="32971E12" w14:textId="77777777" w:rsidR="00177168" w:rsidRDefault="00177168">
      <w:pPr>
        <w:spacing w:after="0" w:line="240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br w:type="page"/>
      </w:r>
    </w:p>
    <w:p w14:paraId="226A7366" w14:textId="39D4C505" w:rsidR="006867D5" w:rsidRDefault="002B30E7" w:rsidP="00177168">
      <w:pPr>
        <w:widowControl w:val="0"/>
        <w:numPr>
          <w:ilvl w:val="0"/>
          <w:numId w:val="2"/>
        </w:numPr>
        <w:spacing w:after="0"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lastRenderedPageBreak/>
        <w:t>nie zachodzą w stosunku do mnie przesłanki wykluczenia z postępowania na podstawie z art.7 ust. 1 Ustawy o szczególnych rozwiązaniach w zakresie przeciwdziałaniu wspieraniu agresji na Ukrainę oraz służące ochronie bezpieczeństwa narodowego (Dz.U. poz. 835).</w:t>
      </w:r>
    </w:p>
    <w:p w14:paraId="226A7367" w14:textId="77777777" w:rsidR="006867D5" w:rsidRDefault="006867D5">
      <w:pPr>
        <w:widowControl w:val="0"/>
        <w:spacing w:after="0" w:line="276" w:lineRule="auto"/>
        <w:ind w:left="502"/>
        <w:rPr>
          <w:rFonts w:ascii="Roboto" w:eastAsia="Roboto" w:hAnsi="Roboto" w:cs="Roboto"/>
          <w:color w:val="000000"/>
          <w:sz w:val="24"/>
          <w:szCs w:val="24"/>
        </w:rPr>
      </w:pPr>
    </w:p>
    <w:p w14:paraId="226A7368" w14:textId="77777777" w:rsidR="006867D5" w:rsidRDefault="002B30E7" w:rsidP="00177168">
      <w:pPr>
        <w:spacing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jako Wykonawca </w:t>
      </w:r>
      <w:r>
        <w:rPr>
          <w:rFonts w:ascii="Roboto" w:eastAsia="Roboto" w:hAnsi="Roboto" w:cs="Roboto"/>
          <w:b/>
          <w:sz w:val="24"/>
          <w:szCs w:val="24"/>
        </w:rPr>
        <w:t xml:space="preserve">spełniam przesłanki, </w:t>
      </w:r>
      <w:r>
        <w:rPr>
          <w:rFonts w:ascii="Roboto" w:eastAsia="Roboto" w:hAnsi="Roboto" w:cs="Roboto"/>
          <w:sz w:val="24"/>
          <w:szCs w:val="24"/>
        </w:rPr>
        <w:t>o których mowa wyżej.</w:t>
      </w:r>
    </w:p>
    <w:p w14:paraId="226A7369" w14:textId="77777777" w:rsidR="006867D5" w:rsidRDefault="006867D5">
      <w:pPr>
        <w:widowControl w:val="0"/>
        <w:spacing w:after="0" w:line="276" w:lineRule="auto"/>
        <w:ind w:left="502" w:firstLine="142"/>
        <w:rPr>
          <w:rFonts w:ascii="Roboto" w:eastAsia="Roboto" w:hAnsi="Roboto" w:cs="Roboto"/>
          <w:color w:val="000000"/>
          <w:sz w:val="24"/>
          <w:szCs w:val="24"/>
        </w:rPr>
      </w:pPr>
    </w:p>
    <w:p w14:paraId="226A736A" w14:textId="77777777" w:rsidR="006867D5" w:rsidRDefault="002B30E7" w:rsidP="00177168">
      <w:pPr>
        <w:widowControl w:val="0"/>
        <w:spacing w:after="0" w:line="276" w:lineRule="auto"/>
        <w:ind w:left="502"/>
        <w:jc w:val="both"/>
        <w:rPr>
          <w:rFonts w:ascii="Roboto" w:eastAsia="Roboto" w:hAnsi="Roboto" w:cs="Roboto"/>
          <w:b/>
          <w:color w:val="000000"/>
          <w:sz w:val="24"/>
          <w:szCs w:val="24"/>
          <w:u w:val="single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mam świadomość, iż zgodnie z treścią z art.7 ust.1 ustawy </w:t>
      </w:r>
      <w:r>
        <w:rPr>
          <w:rFonts w:ascii="Roboto" w:eastAsia="Roboto" w:hAnsi="Roboto" w:cs="Roboto"/>
          <w:b/>
          <w:color w:val="000000"/>
          <w:sz w:val="24"/>
          <w:szCs w:val="24"/>
          <w:u w:val="single"/>
        </w:rPr>
        <w:t>z postępowania o udzielenie zamówienia publicznego wyklucza się:</w:t>
      </w:r>
    </w:p>
    <w:p w14:paraId="226A736B" w14:textId="77777777" w:rsidR="006867D5" w:rsidRDefault="002B30E7" w:rsidP="00177168">
      <w:pPr>
        <w:widowControl w:val="0"/>
        <w:numPr>
          <w:ilvl w:val="0"/>
          <w:numId w:val="1"/>
        </w:numPr>
        <w:spacing w:after="0"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wykonawcę oraz uczestnika konkursu wymienionego w wykazach określonych w rozporządzeniu 765/2006 i rozporządzeniu 269/2014 albo wpisanego na listę na podstawie decyzji  sprawie wpisu na listę rozstrzygającej o zastosowaniu środka, o którym mowa w art. 1 pkt 3 ustawy;</w:t>
      </w:r>
    </w:p>
    <w:p w14:paraId="226A736C" w14:textId="77777777" w:rsidR="006867D5" w:rsidRDefault="002B30E7" w:rsidP="00177168">
      <w:pPr>
        <w:numPr>
          <w:ilvl w:val="0"/>
          <w:numId w:val="1"/>
        </w:numPr>
        <w:spacing w:after="0"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beneficjentem rzeczywistym w rozumieniu ustawy z dnia 01 marca 2018 r. o przeciwdziałaniu praniu pieniędzy oraz finansowaniu terroryzmu (Dz. U. z 2022 poz. 593 ze zm.) jest osoba wymieniona w wykazach określonych  w rozporządzeniu 765/2006 i rozporządzeniu 269/2014 albo wpisana na listę lub będąca takim beneficjentem rzeczywistym od dnia 24 lutego 2022 r., o ile została wpisana na listę na podstawie decyzji  w sprawie wpisu na listę rozstrzygającej o </w:t>
      </w:r>
      <w:r>
        <w:rPr>
          <w:rFonts w:ascii="Roboto" w:eastAsia="Roboto" w:hAnsi="Roboto" w:cs="Roboto"/>
          <w:sz w:val="24"/>
          <w:szCs w:val="24"/>
        </w:rPr>
        <w:t>zastosowanie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środka, o którym mowa w art.1 pkt 3 ustawy;</w:t>
      </w:r>
    </w:p>
    <w:p w14:paraId="226A736D" w14:textId="77777777" w:rsidR="006867D5" w:rsidRDefault="002B30E7" w:rsidP="00177168">
      <w:pPr>
        <w:numPr>
          <w:ilvl w:val="0"/>
          <w:numId w:val="1"/>
        </w:numPr>
        <w:spacing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jednostką dominującą w rozumieniu art.3 ust. 1 pkt 37 ustawy z dnia 29 września 1994 r. o rachunkowości (Dz. U. z </w:t>
      </w:r>
      <w:r>
        <w:rPr>
          <w:rFonts w:ascii="Roboto" w:eastAsia="Roboto" w:hAnsi="Roboto" w:cs="Roboto"/>
          <w:sz w:val="24"/>
          <w:szCs w:val="24"/>
        </w:rPr>
        <w:t>2021 r.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poz. 217 ze zm.) jest podmiot wymieniony w wykazach określonych w rozporządzeniu 765/2006 i rozporządzeniu 269/2014 albo wpisany na listę lub będący taką jednostką dominującą od dnia 24 lutego </w:t>
      </w:r>
      <w:r>
        <w:rPr>
          <w:rFonts w:ascii="Roboto" w:eastAsia="Roboto" w:hAnsi="Roboto" w:cs="Roboto"/>
          <w:sz w:val="24"/>
          <w:szCs w:val="24"/>
        </w:rPr>
        <w:t>2022 r.</w:t>
      </w:r>
      <w:r>
        <w:rPr>
          <w:rFonts w:ascii="Roboto" w:eastAsia="Roboto" w:hAnsi="Roboto" w:cs="Roboto"/>
          <w:color w:val="000000"/>
          <w:sz w:val="24"/>
          <w:szCs w:val="24"/>
        </w:rPr>
        <w:t>, o ile został wpisany na listę na podstawie decyzji w sprawie wpisu na listę rozstrzygającej  o zastosowaniu środka, o którym mowa w art. 1 ust.3 ustawy.</w:t>
      </w:r>
    </w:p>
    <w:p w14:paraId="226A736E" w14:textId="77777777" w:rsidR="006867D5" w:rsidRDefault="002B30E7" w:rsidP="00177168">
      <w:pPr>
        <w:spacing w:line="276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Wykonawca oraz każda z osób innych niż Wykonawca realizująca zadania w ramach zamówienia lub też podmiot, któremu przekazano w ramach umowy środki na realizację części zamówienia, </w:t>
      </w:r>
      <w:r>
        <w:rPr>
          <w:rFonts w:ascii="Roboto" w:eastAsia="Roboto" w:hAnsi="Roboto" w:cs="Roboto"/>
          <w:b/>
          <w:sz w:val="24"/>
          <w:szCs w:val="24"/>
        </w:rPr>
        <w:t xml:space="preserve">nie jest/ nie są </w:t>
      </w:r>
      <w:r>
        <w:rPr>
          <w:rFonts w:ascii="Roboto" w:eastAsia="Roboto" w:hAnsi="Roboto" w:cs="Roboto"/>
          <w:sz w:val="24"/>
          <w:szCs w:val="24"/>
        </w:rPr>
        <w:t>objęci sankcjami, o których mowa wyżej.</w:t>
      </w:r>
    </w:p>
    <w:p w14:paraId="226A736F" w14:textId="2FBFAE01" w:rsidR="006867D5" w:rsidRDefault="002B30E7" w:rsidP="00177168">
      <w:pPr>
        <w:spacing w:line="276" w:lineRule="auto"/>
        <w:jc w:val="both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Zobowiązuję się do niezwłocznego poinformowania Zamawiającego, tj. REA Sp. z o.o.   wszelkich okolicznościach, które powodują zaprzestanie spełnienia wymogów, o których mowa w art. 81 ust. 3 ustawy z dnia 28 kwietnia 2022 r. o zasadach realizacji zadań finansowanych ze środków europejskich w perspektywie finansowej 2021–2027.</w:t>
      </w:r>
    </w:p>
    <w:p w14:paraId="226A7370" w14:textId="77777777" w:rsidR="006867D5" w:rsidRDefault="006867D5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226A7371" w14:textId="77777777" w:rsidR="006867D5" w:rsidRDefault="002B30E7" w:rsidP="00177168">
      <w:pPr>
        <w:widowControl w:val="0"/>
        <w:spacing w:after="0" w:line="276" w:lineRule="auto"/>
        <w:jc w:val="both"/>
        <w:rPr>
          <w:rFonts w:ascii="Roboto" w:eastAsia="Roboto" w:hAnsi="Roboto" w:cs="Roboto"/>
          <w:b/>
          <w:color w:val="000000"/>
          <w:sz w:val="24"/>
          <w:szCs w:val="24"/>
        </w:rPr>
      </w:pPr>
      <w:bookmarkStart w:id="0" w:name="_heading=h.w10sud619szt" w:colFirst="0" w:colLast="0"/>
      <w:bookmarkEnd w:id="0"/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informacje podane w powyższym oświadczeniu są aktualne i zgodne z prawdą oraz zostały przedstawione z pełną świadomością konsekwencji wprowadzenia Zamawiającego w błąd przy przedstawianiu dokumentacji. </w:t>
      </w:r>
    </w:p>
    <w:p w14:paraId="226A7372" w14:textId="77777777" w:rsidR="006867D5" w:rsidRDefault="006867D5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226A7373" w14:textId="77777777" w:rsidR="006867D5" w:rsidRDefault="006867D5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226A7374" w14:textId="77777777" w:rsidR="006867D5" w:rsidRDefault="006867D5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226A7375" w14:textId="77777777" w:rsidR="006867D5" w:rsidRDefault="006867D5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226A7376" w14:textId="77777777" w:rsidR="006867D5" w:rsidRDefault="006867D5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tbl>
      <w:tblPr>
        <w:tblStyle w:val="Style52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1417"/>
        <w:gridCol w:w="3859"/>
      </w:tblGrid>
      <w:tr w:rsidR="006867D5" w14:paraId="226A737C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26A7377" w14:textId="77777777" w:rsidR="006867D5" w:rsidRDefault="002B30E7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26A7378" w14:textId="77777777" w:rsidR="006867D5" w:rsidRDefault="006867D5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26A7379" w14:textId="77777777" w:rsidR="006867D5" w:rsidRDefault="002B30E7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226A737A" w14:textId="77777777" w:rsidR="006867D5" w:rsidRDefault="002B30E7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226A737B" w14:textId="77777777" w:rsidR="006867D5" w:rsidRDefault="006867D5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26A737D" w14:textId="77777777" w:rsidR="006867D5" w:rsidRDefault="006867D5">
      <w:pPr>
        <w:spacing w:line="276" w:lineRule="auto"/>
        <w:rPr>
          <w:rFonts w:ascii="Roboto" w:eastAsia="Roboto" w:hAnsi="Roboto" w:cs="Roboto"/>
          <w:sz w:val="24"/>
          <w:szCs w:val="24"/>
        </w:rPr>
      </w:pPr>
    </w:p>
    <w:sectPr w:rsidR="006867D5">
      <w:headerReference w:type="default" r:id="rId9"/>
      <w:footerReference w:type="default" r:id="rId10"/>
      <w:pgSz w:w="11906" w:h="16838"/>
      <w:pgMar w:top="993" w:right="1417" w:bottom="1134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82CABE" w14:textId="77777777" w:rsidR="008C7CC3" w:rsidRDefault="008C7CC3">
      <w:pPr>
        <w:spacing w:line="240" w:lineRule="auto"/>
      </w:pPr>
      <w:r>
        <w:separator/>
      </w:r>
    </w:p>
  </w:endnote>
  <w:endnote w:type="continuationSeparator" w:id="0">
    <w:p w14:paraId="6176B342" w14:textId="77777777" w:rsidR="008C7CC3" w:rsidRDefault="008C7C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Roboto">
    <w:altName w:val="Arial"/>
    <w:charset w:val="00"/>
    <w:family w:val="auto"/>
    <w:pitch w:val="variable"/>
    <w:sig w:usb0="E0000AFF" w:usb1="5000217F" w:usb2="00000021" w:usb3="00000000" w:csb0="0000019F" w:csb1="00000000"/>
    <w:embedRegular r:id="rId1" w:fontKey="{6E0BB3EC-75F0-46B8-9A06-BD0F25742631}"/>
    <w:embedBold r:id="rId2" w:fontKey="{C42FD326-953C-4AA4-B575-956EAD6A4D9E}"/>
    <w:embedItalic r:id="rId3" w:fontKey="{28989AE7-3A03-48B7-B426-1CB4D7617E2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479999D8-61D5-4F8D-88EC-34E3A5A58A3F}"/>
    <w:embedBold r:id="rId5" w:fontKey="{61DF2E31-258E-4B8A-B6E8-F863266A8C15}"/>
    <w:embedItalic r:id="rId6" w:fontKey="{802022E7-1622-4BBF-A77E-343BF43C858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9385BB37-D7CA-40D2-9E57-252759B592F8}"/>
    <w:embedItalic r:id="rId8" w:fontKey="{464AFB27-BC3E-46E1-A14F-7F6B299078C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33FAE2C-0492-440F-84C8-D3C3F2700E52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6A7385" w14:textId="77777777" w:rsidR="006867D5" w:rsidRDefault="002B30E7">
    <w:pPr>
      <w:jc w:val="right"/>
    </w:pPr>
    <w:r>
      <w:fldChar w:fldCharType="begin"/>
    </w:r>
    <w:r>
      <w:instrText>PAGE</w:instrText>
    </w:r>
    <w:r>
      <w:fldChar w:fldCharType="separate"/>
    </w:r>
    <w: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71C113" w14:textId="77777777" w:rsidR="008C7CC3" w:rsidRDefault="008C7CC3">
      <w:pPr>
        <w:spacing w:after="0"/>
      </w:pPr>
      <w:r>
        <w:separator/>
      </w:r>
    </w:p>
  </w:footnote>
  <w:footnote w:type="continuationSeparator" w:id="0">
    <w:p w14:paraId="002E2AB4" w14:textId="77777777" w:rsidR="008C7CC3" w:rsidRDefault="008C7CC3">
      <w:pPr>
        <w:spacing w:after="0"/>
      </w:pPr>
      <w:r>
        <w:continuationSeparator/>
      </w:r>
    </w:p>
  </w:footnote>
  <w:footnote w:id="1">
    <w:p w14:paraId="226A7387" w14:textId="77777777" w:rsidR="006867D5" w:rsidRPr="00177168" w:rsidRDefault="002B30E7" w:rsidP="00177168">
      <w:pPr>
        <w:spacing w:after="0" w:line="240" w:lineRule="auto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sz w:val="20"/>
          <w:szCs w:val="20"/>
          <w:vertAlign w:val="superscript"/>
        </w:rPr>
        <w:footnoteRef/>
      </w: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 Art. 233 Kodeksu karnego </w:t>
      </w:r>
    </w:p>
    <w:p w14:paraId="226A7388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1. Kto, składając zeznanie mające służyć za dowód w postępowaniu sądowym lub w innym postępowaniu prowadzonym na podstawie ustawy, zeznaje nieprawdę lub zataja prawdę, podlega karze pozbawienia wolności od 6 miesięcy do lat 8. </w:t>
      </w:r>
    </w:p>
    <w:p w14:paraId="226A7389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1a. Jeżeli sprawca czynu określonego w § 1 zeznaje nieprawdę lub zataja prawdę z obawy przed odpowiedzialnością karną grożącą jemu samemu lub jego najbliższym, podlega karze pozbawienia wolności od 3 miesięcy do lat 5. </w:t>
      </w:r>
    </w:p>
    <w:p w14:paraId="226A738A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2. Warunkiem odpowiedzialności jest, aby przyjmujący zeznanie, działając w zakresie swoich uprawnień, uprzedził zeznającego o odpowiedzialności karnej za fałszywe zeznanie lub odebrał od niego przyrzeczenie. </w:t>
      </w:r>
    </w:p>
    <w:p w14:paraId="226A738B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3. Nie podlega karze za czyn określony w § 1a, kto składa fałszywe zeznanie, nie wiedząc o prawie odmowy zeznania lub odpowiedzi na pytania. </w:t>
      </w:r>
    </w:p>
    <w:p w14:paraId="226A738C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4. Kto, jako biegły, rzeczoznawca lub tłumacz, przedstawia fałszywą opinię, ekspertyzę lub tłumaczenie mające służyć za dowód w postępowaniu określonym w § 1, podlega karze pozbawienia wolności od roku do lat 10. </w:t>
      </w:r>
    </w:p>
    <w:p w14:paraId="226A738D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§ 4a. Jeżeli sprawca czynu określonego w § 4 działa nieumyślnie, narażając na istotną szkodę interes publiczny, podlega karze pozbawienia wolności do lat 3. </w:t>
      </w:r>
    </w:p>
    <w:p w14:paraId="226A738E" w14:textId="77777777" w:rsidR="006867D5" w:rsidRPr="00177168" w:rsidRDefault="002B30E7" w:rsidP="00177168">
      <w:pPr>
        <w:spacing w:after="0" w:line="240" w:lineRule="auto"/>
        <w:ind w:left="566" w:hanging="566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>§ 5. Sąd może zastosować nadzwyczajne złagodzenie kary, a nawet odstąpić od jej wymierzenia, jeżeli:</w:t>
      </w:r>
    </w:p>
    <w:p w14:paraId="226A738F" w14:textId="77777777" w:rsidR="006867D5" w:rsidRPr="00177168" w:rsidRDefault="002B30E7" w:rsidP="00177168">
      <w:pPr>
        <w:spacing w:after="0" w:line="240" w:lineRule="auto"/>
        <w:ind w:left="850" w:hanging="285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1) fałszywe zeznanie, opinia, ekspertyza lub tłumaczenie dotyczy okoliczności niemogących mieć wpływu na rozstrzygnięcie sprawy, </w:t>
      </w:r>
    </w:p>
    <w:p w14:paraId="226A7390" w14:textId="77777777" w:rsidR="006867D5" w:rsidRPr="00177168" w:rsidRDefault="002B30E7" w:rsidP="00177168">
      <w:pPr>
        <w:spacing w:after="0" w:line="240" w:lineRule="auto"/>
        <w:ind w:left="850" w:hanging="285"/>
        <w:jc w:val="both"/>
        <w:rPr>
          <w:rFonts w:ascii="Roboto" w:eastAsia="Roboto" w:hAnsi="Roboto" w:cs="Roboto"/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 xml:space="preserve">2) sprawca dobrowolnie sprostuje fałszywe zeznanie, opinię, ekspertyzę lub tłumaczenie, zanim nastąpi, chociażby nieprawomocne, rozstrzygnięcie sprawy. </w:t>
      </w:r>
    </w:p>
    <w:p w14:paraId="226A7391" w14:textId="77777777" w:rsidR="006867D5" w:rsidRDefault="002B30E7" w:rsidP="00177168">
      <w:pPr>
        <w:spacing w:after="0" w:line="240" w:lineRule="auto"/>
        <w:ind w:left="570" w:hanging="570"/>
        <w:jc w:val="both"/>
        <w:rPr>
          <w:color w:val="000000"/>
          <w:sz w:val="20"/>
          <w:szCs w:val="20"/>
        </w:rPr>
      </w:pPr>
      <w:r w:rsidRPr="00177168">
        <w:rPr>
          <w:rFonts w:ascii="Roboto" w:eastAsia="Roboto" w:hAnsi="Roboto" w:cs="Roboto"/>
          <w:color w:val="000000"/>
          <w:sz w:val="20"/>
          <w:szCs w:val="20"/>
        </w:rPr>
        <w:t>§ 6. Przepisy § 1–3 oraz 5 stosuje się odpowiednio do osoby, która składa fałszywe oświadczenie, jeżeli przepis ustawy przewiduje możliwość odebrania oświadczenia pod rygorem odpowiedzialności karnej.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FE3D4F" w14:textId="130F9C1C" w:rsidR="008E2C05" w:rsidRDefault="008E2C05" w:rsidP="008A430A">
    <w:pPr>
      <w:pStyle w:val="Nagwek"/>
      <w:jc w:val="center"/>
    </w:pPr>
    <w:r>
      <w:rPr>
        <w:noProof/>
      </w:rPr>
      <w:drawing>
        <wp:inline distT="0" distB="0" distL="0" distR="0" wp14:anchorId="342F029B" wp14:editId="7808EE9D">
          <wp:extent cx="5760720" cy="474345"/>
          <wp:effectExtent l="0" t="0" r="0" b="190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6845821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4743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6A7384" w14:textId="77777777" w:rsidR="006867D5" w:rsidRDefault="006867D5">
    <w:pPr>
      <w:widowControl w:val="0"/>
      <w:spacing w:after="0" w:line="14" w:lineRule="auto"/>
      <w:rPr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740547"/>
    <w:multiLevelType w:val="multilevel"/>
    <w:tmpl w:val="4A740547"/>
    <w:lvl w:ilvl="0">
      <w:start w:val="1"/>
      <w:numFmt w:val="decimal"/>
      <w:pStyle w:val="Nagwek1"/>
      <w:lvlText w:val="%1."/>
      <w:lvlJc w:val="left"/>
      <w:pPr>
        <w:ind w:left="1440" w:hanging="360"/>
      </w:pPr>
      <w:rPr>
        <w:rFonts w:ascii="Roboto" w:eastAsia="Roboto" w:hAnsi="Roboto" w:cs="Roboto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790B71F4"/>
    <w:multiLevelType w:val="multilevel"/>
    <w:tmpl w:val="790B71F4"/>
    <w:lvl w:ilvl="0">
      <w:start w:val="1"/>
      <w:numFmt w:val="upperRoman"/>
      <w:lvlText w:val="%1."/>
      <w:lvlJc w:val="right"/>
      <w:pPr>
        <w:ind w:left="502" w:hanging="360"/>
      </w:pPr>
      <w:rPr>
        <w:b w:val="0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num w:numId="1" w16cid:durableId="1703825359">
    <w:abstractNumId w:val="0"/>
  </w:num>
  <w:num w:numId="2" w16cid:durableId="19488110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3C18"/>
    <w:rsid w:val="0000410D"/>
    <w:rsid w:val="000F4DA6"/>
    <w:rsid w:val="00142C50"/>
    <w:rsid w:val="00177168"/>
    <w:rsid w:val="00187647"/>
    <w:rsid w:val="001E4C31"/>
    <w:rsid w:val="002343D6"/>
    <w:rsid w:val="002444F9"/>
    <w:rsid w:val="00256F70"/>
    <w:rsid w:val="00272BE7"/>
    <w:rsid w:val="002B30E7"/>
    <w:rsid w:val="00344BEC"/>
    <w:rsid w:val="00415838"/>
    <w:rsid w:val="00514817"/>
    <w:rsid w:val="006867D5"/>
    <w:rsid w:val="006C2B1A"/>
    <w:rsid w:val="006F3EEA"/>
    <w:rsid w:val="008A430A"/>
    <w:rsid w:val="008C7CC3"/>
    <w:rsid w:val="008E2C05"/>
    <w:rsid w:val="00935842"/>
    <w:rsid w:val="00A342DC"/>
    <w:rsid w:val="00B03C18"/>
    <w:rsid w:val="00B35905"/>
    <w:rsid w:val="00C14CBF"/>
    <w:rsid w:val="00C93770"/>
    <w:rsid w:val="00DB2C4C"/>
    <w:rsid w:val="00DB6572"/>
    <w:rsid w:val="00E24BED"/>
    <w:rsid w:val="538114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A7359"/>
  <w15:docId w15:val="{58A6C068-3443-47AF-AA28-0BE688710F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  <w:rPr>
      <w:sz w:val="22"/>
      <w:szCs w:val="22"/>
    </w:rPr>
  </w:style>
  <w:style w:type="paragraph" w:styleId="Nagwek1">
    <w:name w:val="heading 1"/>
    <w:basedOn w:val="Normalny"/>
    <w:link w:val="Nagwek1Znak"/>
    <w:uiPriority w:val="9"/>
    <w:qFormat/>
    <w:pPr>
      <w:widowControl w:val="0"/>
      <w:numPr>
        <w:numId w:val="1"/>
      </w:numPr>
      <w:autoSpaceDE w:val="0"/>
      <w:autoSpaceDN w:val="0"/>
      <w:spacing w:after="0" w:line="240" w:lineRule="auto"/>
      <w:outlineLvl w:val="0"/>
    </w:pPr>
    <w:rPr>
      <w:b/>
      <w:bCs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pPr>
      <w:widowControl w:val="0"/>
      <w:autoSpaceDE w:val="0"/>
      <w:autoSpaceDN w:val="0"/>
      <w:spacing w:after="0" w:line="240" w:lineRule="auto"/>
    </w:pPr>
    <w:rPr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character" w:styleId="UyteHipercze">
    <w:name w:val="FollowedHyperlink"/>
    <w:basedOn w:val="Domylnaczcionkaakapitu"/>
    <w:uiPriority w:val="99"/>
    <w:semiHidden/>
    <w:unhideWhenUsed/>
    <w:qFormat/>
    <w:rPr>
      <w:color w:val="954F72" w:themeColor="followedHyperlink"/>
      <w:u w:val="single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pacing w:after="0" w:line="240" w:lineRule="auto"/>
    </w:pPr>
    <w:rPr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-Siatka">
    <w:name w:val="Table Grid"/>
    <w:basedOn w:val="Standardowy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Pr>
      <w:rFonts w:ascii="Calibri" w:eastAsia="Calibri" w:hAnsi="Calibri" w:cs="Calibri"/>
      <w:b/>
      <w:bCs/>
      <w:sz w:val="28"/>
      <w:szCs w:val="2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Pr>
      <w:rFonts w:ascii="Calibri" w:eastAsia="Calibri" w:hAnsi="Calibri" w:cs="Calibri"/>
      <w:sz w:val="24"/>
      <w:szCs w:val="24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sz w:val="20"/>
      <w:szCs w:val="20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Pr>
      <w:color w:val="605E5C"/>
      <w:shd w:val="clear" w:color="auto" w:fill="E1DFDD"/>
    </w:rPr>
  </w:style>
  <w:style w:type="character" w:customStyle="1" w:styleId="AkapitzlistZnak">
    <w:name w:val="Akapit z listą Znak"/>
    <w:link w:val="Akapitzlist"/>
    <w:uiPriority w:val="34"/>
    <w:locked/>
  </w:style>
  <w:style w:type="paragraph" w:customStyle="1" w:styleId="Poprawka1">
    <w:name w:val="Poprawka1"/>
    <w:hidden/>
    <w:uiPriority w:val="99"/>
    <w:semiHidden/>
    <w:qFormat/>
    <w:rPr>
      <w:sz w:val="22"/>
      <w:szCs w:val="22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b/>
      <w:bCs/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</w:style>
  <w:style w:type="character" w:customStyle="1" w:styleId="StopkaZnak">
    <w:name w:val="Stopka Znak"/>
    <w:basedOn w:val="Domylnaczcionkaakapitu"/>
    <w:link w:val="Stopka"/>
    <w:uiPriority w:val="99"/>
    <w:qFormat/>
  </w:style>
  <w:style w:type="paragraph" w:customStyle="1" w:styleId="Zawartotabeli">
    <w:name w:val="Zawartość tabeli"/>
    <w:basedOn w:val="Normalny"/>
    <w:pPr>
      <w:suppressLineNumbers/>
      <w:suppressAutoHyphens/>
      <w:spacing w:after="200" w:line="276" w:lineRule="auto"/>
    </w:pPr>
    <w:rPr>
      <w:rFonts w:cs="Times New Roman"/>
      <w:lang w:eastAsia="ar-SA"/>
    </w:rPr>
  </w:style>
  <w:style w:type="table" w:customStyle="1" w:styleId="Style44">
    <w:name w:val="_Style 44"/>
    <w:basedOn w:val="TableNormal9"/>
    <w:qFormat/>
    <w:tblPr>
      <w:tblCellMar>
        <w:left w:w="115" w:type="dxa"/>
        <w:right w:w="115" w:type="dxa"/>
      </w:tblCellMar>
    </w:tblPr>
  </w:style>
  <w:style w:type="table" w:customStyle="1" w:styleId="Style45">
    <w:name w:val="_Style 45"/>
    <w:basedOn w:val="TableNormal9"/>
    <w:qFormat/>
    <w:tblPr>
      <w:tblCellMar>
        <w:left w:w="115" w:type="dxa"/>
        <w:right w:w="115" w:type="dxa"/>
      </w:tblCellMar>
    </w:tblPr>
  </w:style>
  <w:style w:type="table" w:customStyle="1" w:styleId="Style46">
    <w:name w:val="_Style 46"/>
    <w:basedOn w:val="TableNormal9"/>
    <w:qFormat/>
    <w:tblPr>
      <w:tblCellMar>
        <w:left w:w="115" w:type="dxa"/>
        <w:right w:w="115" w:type="dxa"/>
      </w:tblCellMar>
    </w:tblPr>
  </w:style>
  <w:style w:type="table" w:customStyle="1" w:styleId="Style47">
    <w:name w:val="_Style 47"/>
    <w:basedOn w:val="TableNormal9"/>
    <w:tblPr>
      <w:tblCellMar>
        <w:left w:w="115" w:type="dxa"/>
        <w:right w:w="115" w:type="dxa"/>
      </w:tblCellMar>
    </w:tblPr>
  </w:style>
  <w:style w:type="table" w:customStyle="1" w:styleId="Style48">
    <w:name w:val="_Style 48"/>
    <w:basedOn w:val="TableNormal9"/>
    <w:qFormat/>
    <w:tblPr>
      <w:tblCellMar>
        <w:left w:w="115" w:type="dxa"/>
        <w:right w:w="115" w:type="dxa"/>
      </w:tblCellMar>
    </w:tblPr>
  </w:style>
  <w:style w:type="table" w:customStyle="1" w:styleId="Style49">
    <w:name w:val="_Style 49"/>
    <w:basedOn w:val="TableNormal9"/>
    <w:tblPr>
      <w:tblCellMar>
        <w:left w:w="115" w:type="dxa"/>
        <w:right w:w="115" w:type="dxa"/>
      </w:tblCellMar>
    </w:tblPr>
  </w:style>
  <w:style w:type="table" w:customStyle="1" w:styleId="Style50">
    <w:name w:val="_Style 50"/>
    <w:basedOn w:val="TableNormal9"/>
    <w:tblPr>
      <w:tblCellMar>
        <w:left w:w="115" w:type="dxa"/>
        <w:right w:w="115" w:type="dxa"/>
      </w:tblCellMar>
    </w:tblPr>
  </w:style>
  <w:style w:type="table" w:customStyle="1" w:styleId="Style51">
    <w:name w:val="_Style 51"/>
    <w:basedOn w:val="TableNormal9"/>
    <w:qFormat/>
    <w:tblPr>
      <w:tblCellMar>
        <w:left w:w="115" w:type="dxa"/>
        <w:right w:w="115" w:type="dxa"/>
      </w:tblCellMar>
    </w:tblPr>
  </w:style>
  <w:style w:type="table" w:customStyle="1" w:styleId="Style52">
    <w:name w:val="_Style 52"/>
    <w:basedOn w:val="TableNormal2"/>
    <w:qFormat/>
    <w:tblPr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Cyi4BNQpmJFk26ECVlnxdLM9Yw==">CgMxLjAyDmgudzEwc3VkNjE5c3p0OABqKwoUc3VnZ2VzdC5jNTBtaGJqMjZrMjgSE0tsYXVkaWEgUnplY3prb3dza2FyITFLa0gtdXYwMlZCVmg3TVBFcXlXdEMzRTdUWGJnMnNTZA==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4532AB0-230A-4911-B7BF-B632663C65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493</Words>
  <Characters>2959</Characters>
  <Application>Microsoft Office Word</Application>
  <DocSecurity>0</DocSecurity>
  <Lines>24</Lines>
  <Paragraphs>6</Paragraphs>
  <ScaleCrop>false</ScaleCrop>
  <Company/>
  <LinksUpToDate>false</LinksUpToDate>
  <CharactersWithSpaces>3446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Klaudia Rzeczkowska</dc:creator>
  <cp:lastModifiedBy>Beata Gliwa</cp:lastModifiedBy>
  <cp:revision>14</cp:revision>
  <dcterms:created xsi:type="dcterms:W3CDTF">2024-10-01T12:30:00Z</dcterms:created>
  <dcterms:modified xsi:type="dcterms:W3CDTF">2025-12-04T11:36:00Z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1045-12.2.0.20782</vt:lpwstr>
  </property>
  <property fmtid="{D5CDD505-2E9C-101B-9397-08002B2CF9AE}" pid="3" name="ICV">
    <vt:lpwstr>FDB5A141B6A54FF9B18B515DDD41751B_13</vt:lpwstr>
  </property>
</Properties>
</file>